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6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6"/>
      </w:tblGrid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116"/>
            </w:tblGrid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413306">
                  <w:pPr>
                    <w:spacing w:after="240"/>
                    <w:jc w:val="center"/>
                    <w:rPr>
                      <w:rFonts w:ascii="Arial" w:eastAsia="Times New Roman" w:hAnsi="Arial" w:cs="Arial"/>
                      <w:caps/>
                      <w:sz w:val="21"/>
                      <w:szCs w:val="21"/>
                    </w:rPr>
                  </w:pPr>
                  <w:bookmarkStart w:id="0" w:name="_GoBack"/>
                  <w:bookmarkEnd w:id="0"/>
                  <w:r>
                    <w:rPr>
                      <w:rFonts w:ascii="Arial" w:eastAsia="Times New Roman" w:hAnsi="Arial" w:cs="Arial"/>
                      <w:b/>
                      <w:bCs/>
                      <w:caps/>
                      <w:sz w:val="21"/>
                      <w:szCs w:val="21"/>
                    </w:rPr>
                    <w:t xml:space="preserve">Acordo Coletivo De Trabalho 2015/2016 </w:t>
                  </w:r>
                </w:p>
              </w:tc>
            </w:tr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84"/>
                    <w:gridCol w:w="150"/>
                    <w:gridCol w:w="2173"/>
                  </w:tblGrid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DE REGISTRO NO MTE: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MT000363/2015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DATA DE REGISTRO NO MTE: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30/06/2015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DA SOLICITAÇÃO: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MR036116/2015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DO PROCESSO: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46210.001275/2015-81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DATA DO PROTOCOLO: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413306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29/06/2015 </w:t>
                        </w:r>
                      </w:p>
                    </w:tc>
                  </w:tr>
                </w:tbl>
                <w:p w:rsidR="00000000" w:rsidRDefault="00413306">
                  <w:pPr>
                    <w:rPr>
                      <w:rFonts w:eastAsia="Times New Roman"/>
                    </w:rPr>
                  </w:pPr>
                </w:p>
                <w:p w:rsidR="00000000" w:rsidRDefault="00413306">
                  <w:pPr>
                    <w:pStyle w:val="NormalWeb"/>
                  </w:pPr>
                  <w:r>
                    <w:rPr>
                      <w:b/>
                      <w:bCs/>
                    </w:rPr>
                    <w:t>Confira a autenticidade no endereço http://www3.mte.gov.br/sistemas/mediador/.</w:t>
                  </w:r>
                  <w:r>
                    <w:rPr>
                      <w:b/>
                      <w:bCs/>
                    </w:rPr>
                    <w:t xml:space="preserve"> </w:t>
                  </w:r>
                </w:p>
                <w:p w:rsidR="00000000" w:rsidRDefault="00413306">
                  <w:pPr>
                    <w:rPr>
                      <w:rFonts w:eastAsia="Times New Roman"/>
                    </w:rPr>
                  </w:pPr>
                </w:p>
              </w:tc>
            </w:tr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SINDICATO DOS EMPREGADOS DOS CONSELHOS E ORDENS DE FISCALIZACAO DO EXERCICIO PROFISSIONAL DO ESTADO DE MATO GROSSO, CNPJ n. 03.012.413/0001-84, neste ato representado(a) por seu Presidente, Sr(a). REYNALDO DE MAGALHAES PASSOS;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CONSELHO REGIONAL DE FA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RMACIA DO ESTADO DE MATO GROSSO, CNPJ n. 15.081.680/0001-92, neste ato representado(a) por seu Presidente, Sr(a). ALEXANDRE HENRIQUE MAGALHAES 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celebram o presente ACORDO COLETIVO DE TRABALHO, estipulando as condições de trabalho previstas nas cláusulas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seguintes: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 xml:space="preserve">CLÁUSULA PRIMEIRA - VIGÊNCIA E DATA-BASE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As partes fixam a vigência do presente Acordo Coletivo de Trabalho no período de 01º de maio de 2015 a 30 de abril de 2016 e a data-base da categoria em 01º de maio.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CLÁUSULA SEGUNDA - ABRANGÊNCIA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O presente Acordo Coletivo de Trabalho, aplicável no âmbito da(s) empresa(s) acordante(s), abrangerá a(s) categoria(s)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Todos os funcionários do CRF-MT que pertencem à categoria abrangida pelo SINDIFISC-MT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, com abrangência territorial em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Barra do Garças/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MT, Cuiabá/MT, Rondonópolis/MT e Sinop/MT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.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Salários, Reajustes e Pagamento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Reajustes/Correções Salariais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TERCEIRA - REAJUSTE SALARIAL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CRF-MT concederá, aos seus empregados, reajuste salarial de 8,34 (oito vírgula trinta e quatro por c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ento) com base na aplicação do “Índice Nacional de Preços ao Consumidor” – INPC, a partir da data que este acordo for oficializado.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Pagamento de Salário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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Formas e Prazos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QUARTA - PAGAMENTO DOS VENCIMENTOS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Os pagamentos salariais deverão s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er feitos impreterivelmente até o quinto dia útil do mês subsequente ao mês trabalhado, sendo antecipado para o dia 01 de cada mês desde que haja disponibilidade financeira.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Outras normas referentes a salários, reajustes, pagamentos e critérios para cálc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ulo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QUINTA - COMPENSAÇÕES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São compensáveis todos e quaisquer reajustes, antecipações, abonos e/ou aumentos, espontâneos ou compulsórios, incluídos os decorrentes de aplicação de acordos coletivos, dissídios coletivos e da legislaçã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o, exceto os decorrentes de promoção, equiparação salarial, transferência, implemento de idade, mérito, término de aprendizagem e aumento real concedido expressamente com esta natureza.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Gratificações, Adicionais, Auxílios e Outros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Gratificação de Funç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SEXTA - GRATIFICAÇÃO EM CASO DE SUBSTITUIÇÃO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funcionário que substituir outro funcionário possuidor de cargo de chefia fará jus ao pagamento da gratificação de função percebida pelo substituído, mediante nomeação do Presidente do Consel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ho, através de Portaria, indicando o tempo que perdurará a substituição.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Outras Gratificações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SÉTIMA - GRATIFICAÇÃO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O CRF efetuará a seus funcionários,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se o orçamento permitir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, o pagamento de um abono anual, a título de gratificaçã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o, garantidas as condições mais favoráveis já praticadas.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Auxílio Alimentação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OITAVA - AUXÍLIO ALIMENTAÇÃO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CRF-MT concederá aos seus funcionários, lotados com a carga de 40 horas semanais, auxílio alimentação em pecúnia no valor de R$ 10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,00 (dez reais) por dia útil trabalhado.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PRIMEIRO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– Será descontado no mês seguinte o valor diário do auxílio em caso de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ausência do funcionário, independentemente de justificativa apresentada.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  <w:u w:val="single"/>
                    </w:rPr>
                    <w:t> 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SEGUNDO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- Este benefício não integra v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erbas salariais, de nenhuma natureza.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  <w:u w:val="single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TERCEIRO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– O aumento do auxílio alimentação para R$ 10,00 (dez reais), este ano excepcionalmente será aplicado a partir do mês de junho.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Relações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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Condi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çõ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es de Trabalho, Normas de Pessoal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e Estabilidades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Plano de Cargos e Salários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NONA - IMPLANTAÇÃO DE PCCS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 criação e implantação do Plano de Cargos, Carreiras e Salários para o quadro funcional do CRF-MT, obedecerá aos dispositivos legais.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Qualificação/Formação Profis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sional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- APRIMORAMENTO PROFISSIONAL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proporcionará cursos de “aprimoramento profissional”, a serem ministrados para todos os funcionários, de acordo com a demanda, planejamento da Diretoria e disponibilidade financeira.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Atribuições da Função/Desvio de Função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PRIMEIRA - DAS HORAS EXTRAS DO FUNCIONÁRIO QUE OCUPA CARGO DE CONFIANÇA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funcionário que ocupa função de confiança, recebendo adicional de gratificação de função, não faz jus ao recebimento de h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oras extraordinárias quando em desempenho de funções inerentes a cargo de confiança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que ocupa.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Assédio Moral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SEGUNDA - COMBATE AO ASSÉDIO MORAL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implementará política de combate permanente ao Assédio Moral no ambiente de 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rabalho, além de garantir que serão acolhidas e devidamente apuradas quaisquer denúncias encaminhadas pelo SINDICATO sobre o assunto.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Estabilidade Geral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TERCEIRA - ESTABILIDADE PRÉ-APOSENTADORIA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Fica assegurada estabilidade aos func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ionários que esteja há 01 (um) ano da aposentadoria.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  <w:u w:val="single"/>
                    </w:rPr>
                    <w:t> 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QUARTA - ESTABILIDADE NO PROCESSO ELEITORAL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É vedada a dispensa de funcionários no período compreendido entre os 3 (três) meses que antecedem as eleiçõ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es de qualquer dos cargos diretivos do Conselho até os 3 (três) meses sucessivos à posse nestes mesmos cargos, garantidas as condições mais favoráveis já praticadas.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Jornada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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Dura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çã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o, Distribui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çã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o, Controle, Faltas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Jornadas Especiais (m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ulheres, menores, estudantes)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QUINTA - FUNCIONÁRIO ESTUDANTE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Ao funcionário estudante fica garantido os direitos legais.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SEXTA - ACOMPANHAMENTO ESCOLAR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O CRF-MT poderá autorizar que mães ou pais se ausentem das at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ividades para participação de reunião para acompanhamento escolar, condicionado à prévia solicitação com posterior comprovação da participação.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ÚNICO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– A liberação, quando realizada, se dará no período correspondente à reunião de acompanhamento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escolar.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Outras disposições sobre jornada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SÉTIMA - TRABALHO NOTURNO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trabalho realizado no período entre 22h00min e 05h00min terá o valor correspondente a hora trabalhada majorada em 25% (vinte e cinco por cento).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  <w:u w:val="single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D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ÉCIMA OITAVA - SERVIÇOS EXTERNOS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Quando da realização, mediante convocação e/ou ordem de serviço, de atividade laboral que exija deslocamento para outras Cidades e/ou Estados, o funcionário fará jus ao recebimento de diárias conforme estipulado em Delib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erações do CRF-MT.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§ 1º - Em atividades realizadas e/ou deslocamentos para o Município de Várzea Grande (Região Metropolitana da Cuiabá), fica o CRF-MT desobrigado de conceder pagamentos de diárias.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§ 2º - O CRF-MT deve propiciar veículo ou meio de tra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nsporte, sem custo para o trabalhador, para que o mesmo desempenhe a atividade/tarefa para qual foi designado/convocado.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NONA - PROLONGAMENTO DE FERIADOS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CRF planejará e divulgará calendário relativo aos dias intercorrentes aos feria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dos. Nos casos em que houver compensação, esta será de comum acordo entre os funcionários e o chefe do Departamento, não sendo efetuada nos sábados da semana do feriado.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lastRenderedPageBreak/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Férias e Licenças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Licença Maternidade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VIGÉSIMA - AMPLIAÇÃO DA LICENÇA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MATERNIDADE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ampliará a licença maternidade de 120 (cento e vinte) dias para 180 (cento e oitenta) dias consecutivos, sem prejuízo ao salário, dentro da vigência desse acordo coletivo de trabalho.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Outras disposições sobre férias e licenças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VIGÉSIMA PRIMEIRA - FÉRIAS E DÉCIMO TERCEIRO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 concessão de férias e o pagamento do 13º Salário obedecerão ao disposto na legislação pertinente.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§ 1.º - No ato da marcação de suas férias, em qualquer período, será garantido ao funcionário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o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direito de optar pela conversão de 1/3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(um terço) das mesmas em abono pecuniário (artigo 7º, inciso XVII, da Constituição Federal), bem como, obter o adiantamento de 50% (cinquenta por cento) do décimo - terceiro salário e o início do período das férias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 serem gozadas pelo funcionário não poderá coincidir com sábados, domingos e feriados ou dias já compensados.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§ 2º - Os setores deverão elaborar escala anual de férias, repassando-as para o setor de Recursos Humanos que fará a consolidação e submeterá 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mesma para aprovação da Diretoria do CRF-MT.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§ 3º - Havendo disponibilidade financeira, fica permitido ao CRF-MT o pagamento de 50% (cinquenta por cento) do décimo terceiro salário no mês de aniversário do trabalhador, caso este ainda nã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tenha sido beneficiado pelo parágrafo primeiro deste item.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VIGÉSIMA SEGUNDA - LICENÇA PATERNIDADE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O Conselho concederá a seus funcionários-pais licença paternidade de 10 (dez) dias corridos,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contados a partir da data do nascimento e/ou ad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oção do filho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lastRenderedPageBreak/>
                    <w:br/>
                    <w:t xml:space="preserve">CLÁUSULA VIGÉSIMA TERCEIRA - LICENÇA NOJO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Sem prejuízo da remuneração, poderá o funcionário ausentar-se do serviço por 03 (três) dias corridos, em razão do falecimento do cônjuge, companheiro, pais, madrasta, padrasto, irmãos, filhos,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enteados, e menores sob sua guarda ou tutela.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ÚNICO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: Será assegurado o abono do dia de velório/sepultamento de demais parentes do funcionário.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VIGÉSIMA QUARTA - LICENÇA GALA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concederá licença gala de 05 (cinco) dias co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rridos, contados da data do casamento.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  <w:u w:val="single"/>
                    </w:rPr>
                    <w:t> 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Saúde e Segurança do Trabalhador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Uniforme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VIGÉSIMA QUINTA - UNIFORMES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Quando da exigência do uso de uniforme, este será fornecido gratuitamente aos seus funcionários.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§1º - O funcionário será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obrigado a usá-lo e não havendo justificativa pela ausência do uniforme, poderá ser advertido.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§2º - O modelo do uniforme será decidido pela Diretoria do CRF-MT, após consulta  aos funcionários.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§3º - Serão concedidos no máximo 03 (três) jogos de unifo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rmes para cada funcionário, devendo o mesmo zelar pela sua conservação e limpeza.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§4º - Havendo necessidade de concessão de outro jogo de uniforme, para substituição de um jogo anteriormente concedido, esta deverá observar o quantitativo disposto no pará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grafo anterior.  Caso haja necessidade superior ao estabelecido e comprovado que essa necessidade se deu por mau uso ou má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conservação, os custos serão devidos pelo trabalhador.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§5º - A simples solicitação quanto ao uso de determinado tipo de roupa nã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caracteriza obrigação de uniforme.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Exames Médicos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VIGÉSIMA SEXTA - EXAMES MÉDICOS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Os exames médicos de admissão, demissão e outros estabelecidos em lei, serão custeados pelo CRF-MT obedecendo à legislação vigente.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Aceitação de Atesta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dos Médicos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VIGÉSIMA SÉTIMA - ATESTADOS DE PROFISSIONAIS DE SAÚDE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listparagrap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Serão reconhecidos como válidos, para abono de faltas, os atestados fornecidos por profissionais devidamente inscritos e regulares com os respectivos Conselhos de Classe, que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comprove que o trabalhador esteja em consulta ou em sessão de tratamento de saúde, desde que contenham o carimbo com identificação do profissional emissor e assinatura.</w:t>
                  </w:r>
                </w:p>
                <w:p w:rsidR="00000000" w:rsidRDefault="00413306">
                  <w:pPr>
                    <w:pStyle w:val="listparagrap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§ 1º – Para fins de abono de faltas, o CRF-MT reconhecerá os documentos mencionados no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caput, que atestam o acompanhamento dos seus filhos menores de 12 (doze) anos e/ou inválidos de qualquer idade. Nos casos dos filhos com idade superior a já estipulada o funcionário poderá requerer ao Conselho o abano de faltas com a justificativa pertine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nte, tendo o Conselho à </w:t>
                  </w:r>
                  <w:r>
                    <w:rPr>
                      <w:rStyle w:val="nfase"/>
                      <w:rFonts w:ascii="Arial" w:hAnsi="Arial" w:cs="Arial"/>
                      <w:sz w:val="21"/>
                      <w:szCs w:val="21"/>
                    </w:rPr>
                    <w:t>discricionariedade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de abonar ou não a falta.</w:t>
                  </w:r>
                </w:p>
                <w:p w:rsidR="00000000" w:rsidRDefault="00413306">
                  <w:pPr>
                    <w:pStyle w:val="listparagrap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listparagrap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§ 2º - Os casos de afastamentos por motivos de problemas de saúde obedecerão ao disposto em legislação específica vigente.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listparagrap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§ 3º Serão aceitos em qualquer hipótese para efeito de abono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de faltas dos funcionários do CRF-MT, os atestados de profissionais de saúde fornecidos por órgão público de saúde, hospitais/clinicas/médicos particulares e profissionais de saúde contratados/credenciados/conveniados pelo/ao SINDIFISC-MT. No caso de ates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tados que comprovem acompanhamento de cônjuge e familiar que sejam dependentes do funcionário do CRF-MT, o funcionário poderá requerer ao Conselho o abano de faltas com a justificativa pertinente, tendo o Conselho à </w:t>
                  </w:r>
                  <w:r>
                    <w:rPr>
                      <w:rStyle w:val="nfase"/>
                      <w:rFonts w:ascii="Arial" w:hAnsi="Arial" w:cs="Arial"/>
                      <w:sz w:val="21"/>
                      <w:szCs w:val="21"/>
                    </w:rPr>
                    <w:t>discricionariedade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de abonar ou não a fa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lta.</w:t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§ 4º Nos casos de gestantes, os atestados e comprovantes de exames pré-natais abonarão o período de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realização do exame.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§ 5º Será assegurada à funcionária lactante a redução da jornada de trabalho conforme previsto no Artigo. 396 da CLT.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Outr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as Normas de Prevenção de Acidentes e Doenças Profissionais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VIGÉSIMA OITAVA - COMUNICAÇÃO DE ACIDENTE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As questões referentes à segurança no trabalho e respectivos comunicados obedecerão ao disposto em norma vigente.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Relações Sindicais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Acesso do Sindicato ao Local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VIGÉSIMA NONA - ENTRADA DE DIRETORES SINDICAIS NO RECINTO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Sempre que se fizer necessário, os representantes do SINDFISC, e/ou da FENASERA - Federação Nacional dos Trab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alhadores nas Autarquias de Fiscalização do Exercício Profissional e nas Entidades Coligadas e Afins, com a devida anuência do CRF/MT, poderão ter acesso nos recintos de trabalho, para distribuição de boletins, convocatórias e para efetuar sindicalizações.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Representante Sindical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TRIGÉSIMA - REPRESENTAÇÃO SINDICAL NO LOCAL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Os direitos legais previstos aos dirigentes sindicais serão respeitados pelo CRF-MT.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Liberação de Empregados para Atividades Sindicais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TRIGÉSIM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 PRIMEIRA - HORA SINDICAL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Será assegurado aos representantes do SINDFISC, com a devida anuência e comunicação prévia ao CRF/MT, no prazo mínimo de 15 (quinze) dias de antecedência, a concessão de 02 (duas) horas mensais, durante o expediente, para enco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ntro com os funcionários, com vistas a palestras e debates de assuntos sobre os interesses da categoria e à ação do sindicato.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TRIGÉSIMA SEGUNDA - LICENÇA AO ASSOCIADO DO SINDICATO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Fica garantida ao funcionário sindicalizado, sem prejuízo de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remuneração, devendo haver prévia autorização do CRF/MT, a sua participação,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  <w:u w:val="single"/>
                    </w:rPr>
                    <w:t>mediante convocação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, de cursos, seminários, congressos etc., promovidos pelo SINDIFISC-MT e/ou pela Federação Nacional dos Trabalhadores nas Autarquias de Fiscalização do Exercíci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Profissional e nas Entidades Coligadas e Afins – FENASERA.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TRIGÉSIMA TERCEIRA - LICENÇA AO DIRIGENTE SINDICAL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Ao trabalhador membro da Diretoria do SINDIFISC-MT será garantida, sem qualquer prejuízo trabalhista, a participação em Reuniões 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rdinárias do Sindicato e será facilitada sua participação em Reuniões Extraordinárias e Representação da Entidade, quando designado,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  <w:u w:val="single"/>
                    </w:rPr>
                    <w:t>mediante convocação prévia pelo Presidente da Entidade e posterior comprovação de presença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Contribuições Sindicais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ÁUSULA TRIGÉSIMA QUARTA - MENSALIDADE SINDICAL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As mensalidades associativas sindicais, devidas pelos funcionários filiados ao SINDFISC-MT, deverão ser descontadas pelo Conselho em folha de pagamento, mediante autorização expressa do trabalhador e repass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ada ao SINDFISC-MT mediante depósito em conta corrente em nome da entidade, até o 10º (décimo) dia após a efetivação do desconto.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ÚNICO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– Em se tratando da contribuição sindical compulsória, o referido desconto e recolhimento obedecerá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ao disposto na legislação específica, ficando resguardado o direito do Farmacêutico Fiscal não filiado ao SINDIFISC-MT, o recolhimento da Contribuição Sindical para o sindicato representativo de sua categoria profissional, nos termos da lei, com a devida c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omprovação junto a contabilidade do CRF/MT.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Outras disposições sobre relação entre sindicato e empresa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TRIGÉSIMA QUINTA - UTILIZAÇÃO DE QUADRO DE AVISOS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CRF-MT garantirá acesso dos dirigentes sindicais e espaç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em seu quadro de avisos, espaço para que o SINDIFISC-MT afixar seus comunicados, distribuição de boletins e/ou jornais de interesses da categoria profissional, vedado todo e qualquer material político – partidário e/ou de agravo direto ao empregador.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Disposições Gerais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Regras para a Negociação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TRIGÉSIMA SEXTA - AÇÃO DE CUMPRIMENTO E COMPETÊNCIA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corpodetexto21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SINDFISC é competente para propor em nome da categoria, ação de cumprimento, em qualquer jurisdição, em relação às cláusulas do Acordo Coleti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vo de Trabalho, conforme disposto no capítulo II, artigo 8º da Constituição Federal.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413306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Outras Disposições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TRIGÉSIMA SÉTIMA - DA VIGÊNCIA DO ACORDO COLETIVO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Acordo Coletivo de Trabalho vigorará de 1º de maio de 2015 a 30 de abril de 2016.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Parágrafo único - O SINDIFISC-MT e o CRF-MT voltarão a se reunir até 30 dias antes da data base da categoria, em 2016, para negociação dos itens econômicos do Acordo Coletivo ora firmado, cabendo ao SINDIFISC-MT o envio de pauta de reivindicações a fim de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se respeitar o prazo estipulado.</w:t>
                  </w:r>
                </w:p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TRIGÉSIMA OITAVA - CASOS OMISSOS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Os assuntos não previstos em Lei e no Acordo Coletivo de Trabalho deverão ser acordados entre o Conselho e o SINDIFISC-MT.</w:t>
                  </w:r>
                </w:p>
                <w:p w:rsidR="00000000" w:rsidRDefault="00413306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  <w:u w:val="single"/>
                    </w:rPr>
                    <w:t> </w:t>
                  </w:r>
                </w:p>
                <w:p w:rsidR="00000000" w:rsidRDefault="00413306">
                  <w:pPr>
                    <w:spacing w:after="240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116"/>
                  </w:tblGrid>
                  <w:tr w:rsidR="00000000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413306">
                        <w:pPr>
                          <w:jc w:val="center"/>
                          <w:rPr>
                            <w:rFonts w:eastAsia="Times New Roman"/>
                          </w:rPr>
                        </w:pP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lastRenderedPageBreak/>
                          <w:t xml:space="preserve">REYNALDO DE MAGALHAES PASSOS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SINDICATO DOS EMPREGADOS DOS CONSELHOS E ORDENS DE FISCALIZACAO DO EXERCICIO PROFISSIONAL DO ESTADO DE MATO GROSSO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ALEXANDRE HENRIQUE MAGALHAES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CONSELHO REGIONAL DE FARMACIA DO ESTADO DE MATO GROSSO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</w:p>
                    </w:tc>
                  </w:tr>
                </w:tbl>
                <w:p w:rsidR="00000000" w:rsidRDefault="00413306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</w:tc>
            </w:tr>
          </w:tbl>
          <w:p w:rsidR="00000000" w:rsidRDefault="00413306">
            <w:pPr>
              <w:rPr>
                <w:rFonts w:eastAsia="Times New Roman"/>
              </w:rPr>
            </w:pPr>
          </w:p>
        </w:tc>
      </w:tr>
    </w:tbl>
    <w:p w:rsidR="00413306" w:rsidRDefault="00413306">
      <w:pPr>
        <w:rPr>
          <w:rFonts w:eastAsia="Times New Roman"/>
        </w:rPr>
      </w:pPr>
    </w:p>
    <w:sectPr w:rsidR="00413306">
      <w:pgSz w:w="11907" w:h="16840"/>
      <w:pgMar w:top="113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0D2804"/>
    <w:rsid w:val="000D2804"/>
    <w:rsid w:val="00413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Pr>
      <w:rFonts w:ascii="Consolas" w:eastAsiaTheme="minorEastAsia" w:hAnsi="Consolas" w:cs="Consolas"/>
    </w:rPr>
  </w:style>
  <w:style w:type="paragraph" w:customStyle="1" w:styleId="titulo">
    <w:name w:val="titul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subtitulo">
    <w:name w:val="subtitulo"/>
    <w:basedOn w:val="Normal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exto">
    <w:name w:val="text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ituloclausula">
    <w:name w:val="titul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descricaoclausula">
    <w:name w:val="descrica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extogrupo">
    <w:name w:val="textogrupo"/>
    <w:basedOn w:val="Normal"/>
    <w:pPr>
      <w:spacing w:before="100" w:beforeAutospacing="1" w:after="100" w:afterAutospacing="1"/>
    </w:pPr>
    <w:rPr>
      <w:rFonts w:ascii="Arial" w:hAnsi="Arial" w:cs="Arial"/>
      <w:caps/>
      <w:sz w:val="27"/>
      <w:szCs w:val="27"/>
    </w:rPr>
  </w:style>
  <w:style w:type="paragraph" w:customStyle="1" w:styleId="textosubgrupo">
    <w:name w:val="textosubgrupo"/>
    <w:basedOn w:val="Normal"/>
    <w:pPr>
      <w:spacing w:before="100" w:beforeAutospacing="1" w:after="100" w:afterAutospacing="1"/>
    </w:pPr>
    <w:rPr>
      <w:rFonts w:ascii="Arial" w:hAnsi="Arial" w:cs="Arial"/>
      <w:caps/>
    </w:rPr>
  </w:style>
  <w:style w:type="paragraph" w:customStyle="1" w:styleId="textonome">
    <w:name w:val="textonome"/>
    <w:basedOn w:val="Normal"/>
    <w:pPr>
      <w:spacing w:before="100" w:beforeAutospacing="1" w:after="100" w:afterAutospacing="1"/>
    </w:pPr>
    <w:rPr>
      <w:rFonts w:ascii="Arial" w:hAnsi="Arial" w:cs="Arial"/>
      <w:b/>
      <w:bCs/>
      <w:caps/>
      <w:sz w:val="18"/>
      <w:szCs w:val="18"/>
    </w:rPr>
  </w:style>
  <w:style w:type="paragraph" w:customStyle="1" w:styleId="textofuncao">
    <w:name w:val="textofuncao"/>
    <w:basedOn w:val="Normal"/>
    <w:pPr>
      <w:spacing w:before="100" w:beforeAutospacing="1" w:after="100" w:afterAutospacing="1"/>
    </w:pPr>
    <w:rPr>
      <w:rFonts w:ascii="Verdana" w:hAnsi="Verdana"/>
      <w:b/>
      <w:bCs/>
      <w:sz w:val="18"/>
      <w:szCs w:val="18"/>
    </w:rPr>
  </w:style>
  <w:style w:type="paragraph" w:customStyle="1" w:styleId="pagebreak">
    <w:name w:val="pagebreak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customStyle="1" w:styleId="corpodetexto21">
    <w:name w:val="corpodetexto21"/>
    <w:basedOn w:val="Normal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Pr>
      <w:b/>
      <w:bCs/>
    </w:rPr>
  </w:style>
  <w:style w:type="paragraph" w:customStyle="1" w:styleId="listparagraph">
    <w:name w:val="listparagraph"/>
    <w:basedOn w:val="Normal"/>
    <w:pPr>
      <w:spacing w:before="100" w:beforeAutospacing="1" w:after="100" w:afterAutospacing="1"/>
    </w:pPr>
  </w:style>
  <w:style w:type="character" w:styleId="nfase">
    <w:name w:val="Emphasis"/>
    <w:basedOn w:val="Fontepargpadro"/>
    <w:uiPriority w:val="20"/>
    <w:qFormat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Pr>
      <w:rFonts w:ascii="Consolas" w:eastAsiaTheme="minorEastAsia" w:hAnsi="Consolas" w:cs="Consolas"/>
    </w:rPr>
  </w:style>
  <w:style w:type="paragraph" w:customStyle="1" w:styleId="titulo">
    <w:name w:val="titul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subtitulo">
    <w:name w:val="subtitulo"/>
    <w:basedOn w:val="Normal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exto">
    <w:name w:val="text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ituloclausula">
    <w:name w:val="titul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descricaoclausula">
    <w:name w:val="descrica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extogrupo">
    <w:name w:val="textogrupo"/>
    <w:basedOn w:val="Normal"/>
    <w:pPr>
      <w:spacing w:before="100" w:beforeAutospacing="1" w:after="100" w:afterAutospacing="1"/>
    </w:pPr>
    <w:rPr>
      <w:rFonts w:ascii="Arial" w:hAnsi="Arial" w:cs="Arial"/>
      <w:caps/>
      <w:sz w:val="27"/>
      <w:szCs w:val="27"/>
    </w:rPr>
  </w:style>
  <w:style w:type="paragraph" w:customStyle="1" w:styleId="textosubgrupo">
    <w:name w:val="textosubgrupo"/>
    <w:basedOn w:val="Normal"/>
    <w:pPr>
      <w:spacing w:before="100" w:beforeAutospacing="1" w:after="100" w:afterAutospacing="1"/>
    </w:pPr>
    <w:rPr>
      <w:rFonts w:ascii="Arial" w:hAnsi="Arial" w:cs="Arial"/>
      <w:caps/>
    </w:rPr>
  </w:style>
  <w:style w:type="paragraph" w:customStyle="1" w:styleId="textonome">
    <w:name w:val="textonome"/>
    <w:basedOn w:val="Normal"/>
    <w:pPr>
      <w:spacing w:before="100" w:beforeAutospacing="1" w:after="100" w:afterAutospacing="1"/>
    </w:pPr>
    <w:rPr>
      <w:rFonts w:ascii="Arial" w:hAnsi="Arial" w:cs="Arial"/>
      <w:b/>
      <w:bCs/>
      <w:caps/>
      <w:sz w:val="18"/>
      <w:szCs w:val="18"/>
    </w:rPr>
  </w:style>
  <w:style w:type="paragraph" w:customStyle="1" w:styleId="textofuncao">
    <w:name w:val="textofuncao"/>
    <w:basedOn w:val="Normal"/>
    <w:pPr>
      <w:spacing w:before="100" w:beforeAutospacing="1" w:after="100" w:afterAutospacing="1"/>
    </w:pPr>
    <w:rPr>
      <w:rFonts w:ascii="Verdana" w:hAnsi="Verdana"/>
      <w:b/>
      <w:bCs/>
      <w:sz w:val="18"/>
      <w:szCs w:val="18"/>
    </w:rPr>
  </w:style>
  <w:style w:type="paragraph" w:customStyle="1" w:styleId="pagebreak">
    <w:name w:val="pagebreak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customStyle="1" w:styleId="corpodetexto21">
    <w:name w:val="corpodetexto21"/>
    <w:basedOn w:val="Normal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Pr>
      <w:b/>
      <w:bCs/>
    </w:rPr>
  </w:style>
  <w:style w:type="paragraph" w:customStyle="1" w:styleId="listparagraph">
    <w:name w:val="listparagraph"/>
    <w:basedOn w:val="Normal"/>
    <w:pPr>
      <w:spacing w:before="100" w:beforeAutospacing="1" w:after="100" w:afterAutospacing="1"/>
    </w:pPr>
  </w:style>
  <w:style w:type="character" w:styleId="nfase">
    <w:name w:val="Emphasis"/>
    <w:basedOn w:val="Fontepargpadro"/>
    <w:uiPriority w:val="20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2704</Words>
  <Characters>14607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Mediador - Extrato Acordo Coletivo </vt:lpstr>
    </vt:vector>
  </TitlesOfParts>
  <Company/>
  <LinksUpToDate>false</LinksUpToDate>
  <CharactersWithSpaces>17277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Mediador - Extrato Acordo Coletivo</dc:title>
  <dc:creator>SINDFISC</dc:creator>
  <cp:lastModifiedBy>SINDFISC</cp:lastModifiedBy>
  <cp:revision>2</cp:revision>
  <dcterms:created xsi:type="dcterms:W3CDTF">2015-07-01T21:14:00Z</dcterms:created>
  <dcterms:modified xsi:type="dcterms:W3CDTF">2015-07-01T21:14:00Z</dcterms:modified>
</cp:coreProperties>
</file>